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97" w:rsidRDefault="00810B38" w:rsidP="00AA1297">
      <w:pPr>
        <w:spacing w:after="0" w:line="240" w:lineRule="auto"/>
        <w:jc w:val="both"/>
        <w:rPr>
          <w:b/>
          <w:bCs/>
        </w:rPr>
      </w:pPr>
      <w:r w:rsidRPr="00810B38">
        <w:rPr>
          <w:b/>
          <w:bCs/>
        </w:rPr>
        <w:t xml:space="preserve">ORDIN nr. 1199 din 26 iulie 2011 privind introducerea </w:t>
      </w:r>
      <w:proofErr w:type="spellStart"/>
      <w:r w:rsidRPr="00810B38">
        <w:rPr>
          <w:b/>
          <w:bCs/>
        </w:rPr>
        <w:t>şi</w:t>
      </w:r>
      <w:proofErr w:type="spellEnd"/>
      <w:r w:rsidRPr="00810B38">
        <w:rPr>
          <w:b/>
          <w:bCs/>
        </w:rPr>
        <w:t xml:space="preserve"> utilizarea clasificării RO DRG v.1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br/>
        <w:t xml:space="preserve">Forma sintetică la data 09-ian-2024. Acest act a fost creat </w:t>
      </w:r>
      <w:proofErr w:type="spellStart"/>
      <w:r w:rsidRPr="00810B38">
        <w:t>utilizand</w:t>
      </w:r>
      <w:proofErr w:type="spellEnd"/>
      <w:r w:rsidRPr="00810B38">
        <w:t xml:space="preserve"> tehnologia </w:t>
      </w:r>
      <w:proofErr w:type="spellStart"/>
      <w:r w:rsidRPr="00810B38">
        <w:t>SintAct</w:t>
      </w:r>
      <w:proofErr w:type="spellEnd"/>
      <w:r w:rsidRPr="00810B38">
        <w:t xml:space="preserve">®-Acte Sintetice. </w:t>
      </w:r>
      <w:proofErr w:type="spellStart"/>
      <w:r w:rsidRPr="00810B38">
        <w:t>SintAct</w:t>
      </w:r>
      <w:proofErr w:type="spellEnd"/>
      <w:r w:rsidRPr="00810B38">
        <w:t xml:space="preserve">® </w:t>
      </w:r>
      <w:proofErr w:type="spellStart"/>
      <w:r w:rsidRPr="00810B38">
        <w:t>şi</w:t>
      </w:r>
      <w:proofErr w:type="spellEnd"/>
      <w:r w:rsidRPr="00810B38">
        <w:t xml:space="preserve"> tehnologia Acte Sintetice sunt mărci </w:t>
      </w:r>
      <w:proofErr w:type="spellStart"/>
      <w:r w:rsidRPr="00810B38">
        <w:t>inregistrate</w:t>
      </w:r>
      <w:proofErr w:type="spellEnd"/>
      <w:r w:rsidRPr="00810B38">
        <w:t xml:space="preserve"> ale </w:t>
      </w:r>
      <w:proofErr w:type="spellStart"/>
      <w:r w:rsidRPr="00810B38">
        <w:t>Wolters</w:t>
      </w:r>
      <w:proofErr w:type="spellEnd"/>
      <w:r w:rsidRPr="00810B38">
        <w:t xml:space="preserve"> </w:t>
      </w:r>
      <w:proofErr w:type="spellStart"/>
      <w:r w:rsidRPr="00810B38">
        <w:t>Kluwer</w:t>
      </w:r>
      <w:proofErr w:type="spellEnd"/>
      <w:r w:rsidRPr="00810B38">
        <w:t>.</w:t>
      </w:r>
    </w:p>
    <w:p w:rsidR="00810B38" w:rsidRPr="00810B38" w:rsidRDefault="00810B38" w:rsidP="00AA1297">
      <w:pPr>
        <w:spacing w:after="0" w:line="240" w:lineRule="auto"/>
        <w:jc w:val="both"/>
      </w:pPr>
      <w:bookmarkStart w:id="0" w:name="do|pa1"/>
      <w:bookmarkEnd w:id="0"/>
      <w:r w:rsidRPr="00810B38">
        <w:t xml:space="preserve">Văzând Referatul de aprobare al </w:t>
      </w:r>
      <w:proofErr w:type="spellStart"/>
      <w:r w:rsidRPr="00810B38">
        <w:t>Direcţiei</w:t>
      </w:r>
      <w:proofErr w:type="spellEnd"/>
      <w:r w:rsidRPr="00810B38">
        <w:t xml:space="preserve"> </w:t>
      </w:r>
      <w:proofErr w:type="spellStart"/>
      <w:r w:rsidRPr="00810B38">
        <w:t>asistenţă</w:t>
      </w:r>
      <w:proofErr w:type="spellEnd"/>
      <w:r w:rsidRPr="00810B38">
        <w:t xml:space="preserve"> medicală nr. </w:t>
      </w:r>
      <w:proofErr w:type="spellStart"/>
      <w:r w:rsidRPr="00810B38">
        <w:t>Cs.A</w:t>
      </w:r>
      <w:proofErr w:type="spellEnd"/>
      <w:r w:rsidRPr="00810B38">
        <w:t xml:space="preserve"> 8.987/2011,</w:t>
      </w:r>
    </w:p>
    <w:p w:rsidR="00810B38" w:rsidRPr="00810B38" w:rsidRDefault="00810B38" w:rsidP="00AA1297">
      <w:pPr>
        <w:spacing w:after="0" w:line="240" w:lineRule="auto"/>
        <w:jc w:val="both"/>
      </w:pPr>
      <w:bookmarkStart w:id="1" w:name="do|pa2"/>
      <w:bookmarkEnd w:id="1"/>
      <w:r w:rsidRPr="00810B38">
        <w:t xml:space="preserve">În temeiul art. 7 alin. (4) din Hotărârea Guvernului nr. </w:t>
      </w:r>
      <w:hyperlink r:id="rId4" w:history="1">
        <w:r w:rsidRPr="00810B38">
          <w:rPr>
            <w:rStyle w:val="Hyperlink"/>
            <w:b/>
            <w:bCs/>
          </w:rPr>
          <w:t>144/2010</w:t>
        </w:r>
      </w:hyperlink>
      <w:r w:rsidRPr="00810B38">
        <w:t xml:space="preserve"> privind organizarea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funcţionarea</w:t>
      </w:r>
      <w:proofErr w:type="spellEnd"/>
      <w:r w:rsidRPr="00810B38">
        <w:t xml:space="preserve"> Ministerului </w:t>
      </w:r>
      <w:proofErr w:type="spellStart"/>
      <w:r w:rsidRPr="00810B38">
        <w:t>Sănătăţii</w:t>
      </w:r>
      <w:proofErr w:type="spellEnd"/>
      <w:r w:rsidRPr="00810B38">
        <w:t xml:space="preserve"> cu modificările </w:t>
      </w:r>
      <w:proofErr w:type="spellStart"/>
      <w:r w:rsidRPr="00810B38">
        <w:t>şi</w:t>
      </w:r>
      <w:proofErr w:type="spellEnd"/>
      <w:r w:rsidRPr="00810B38">
        <w:t xml:space="preserve"> completările ulterioare,</w:t>
      </w:r>
    </w:p>
    <w:p w:rsidR="00810B38" w:rsidRPr="00810B38" w:rsidRDefault="00810B38" w:rsidP="00AA1297">
      <w:pPr>
        <w:spacing w:after="0" w:line="240" w:lineRule="auto"/>
        <w:jc w:val="both"/>
      </w:pPr>
      <w:bookmarkStart w:id="2" w:name="do|pa3"/>
      <w:bookmarkEnd w:id="2"/>
      <w:r w:rsidRPr="00810B38">
        <w:rPr>
          <w:b/>
          <w:bCs/>
        </w:rPr>
        <w:t xml:space="preserve">ministrul </w:t>
      </w:r>
      <w:proofErr w:type="spellStart"/>
      <w:r w:rsidRPr="00810B38">
        <w:rPr>
          <w:b/>
          <w:bCs/>
        </w:rPr>
        <w:t>sănătăţii</w:t>
      </w:r>
      <w:proofErr w:type="spellEnd"/>
      <w:r w:rsidRPr="00810B38">
        <w:t xml:space="preserve"> emite următorul ordin:</w:t>
      </w:r>
    </w:p>
    <w:p w:rsidR="00AA1297" w:rsidRDefault="00AA1297" w:rsidP="00AA1297">
      <w:pPr>
        <w:spacing w:after="0" w:line="240" w:lineRule="auto"/>
        <w:jc w:val="both"/>
        <w:rPr>
          <w:b/>
          <w:bCs/>
        </w:rPr>
      </w:pP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1</w:t>
      </w:r>
    </w:p>
    <w:p w:rsidR="00810B38" w:rsidRPr="00810B38" w:rsidRDefault="00810B38" w:rsidP="00AA1297">
      <w:pPr>
        <w:spacing w:after="0" w:line="240" w:lineRule="auto"/>
        <w:jc w:val="both"/>
      </w:pPr>
      <w:bookmarkStart w:id="3" w:name="do|ar1|pa1"/>
      <w:bookmarkEnd w:id="3"/>
      <w:r w:rsidRPr="00810B38">
        <w:t xml:space="preserve">Se aprobă introducerea în practică a clasificării RO DRG v.1, la nivelul tuturor </w:t>
      </w:r>
      <w:proofErr w:type="spellStart"/>
      <w:r w:rsidRPr="00810B38">
        <w:t>unităţilor</w:t>
      </w:r>
      <w:proofErr w:type="spellEnd"/>
      <w:r w:rsidRPr="00810B38">
        <w:t xml:space="preserve"> sanitare cu paturi, în vederea utilizării pentru clasificarea </w:t>
      </w:r>
      <w:proofErr w:type="spellStart"/>
      <w:r w:rsidRPr="00810B38">
        <w:t>şi</w:t>
      </w:r>
      <w:proofErr w:type="spellEnd"/>
      <w:r w:rsidRPr="00810B38">
        <w:t xml:space="preserve"> codificarea </w:t>
      </w:r>
      <w:proofErr w:type="spellStart"/>
      <w:r w:rsidRPr="00810B38">
        <w:t>morbidităţii</w:t>
      </w:r>
      <w:proofErr w:type="spellEnd"/>
      <w:r w:rsidRPr="00810B38">
        <w:t xml:space="preserve"> spitalizate.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2</w:t>
      </w:r>
    </w:p>
    <w:p w:rsidR="00810B38" w:rsidRPr="00810B38" w:rsidRDefault="00810B38" w:rsidP="00AA1297">
      <w:pPr>
        <w:spacing w:after="0" w:line="240" w:lineRule="auto"/>
        <w:jc w:val="both"/>
      </w:pPr>
      <w:bookmarkStart w:id="4" w:name="do|ar2|al1"/>
      <w:bookmarkEnd w:id="4"/>
      <w:r w:rsidRPr="00810B38">
        <w:rPr>
          <w:b/>
          <w:bCs/>
        </w:rPr>
        <w:t>(1)</w:t>
      </w:r>
      <w:r w:rsidRPr="00810B38">
        <w:t xml:space="preserve">Clasificarea RO DRG v.1 urmează a fi utilizată în raportările transmise de </w:t>
      </w:r>
      <w:proofErr w:type="spellStart"/>
      <w:r w:rsidRPr="00810B38">
        <w:t>unităţile</w:t>
      </w:r>
      <w:proofErr w:type="spellEnd"/>
      <w:r w:rsidRPr="00810B38">
        <w:t xml:space="preserve"> sanitare cu paturi către </w:t>
      </w:r>
      <w:proofErr w:type="spellStart"/>
      <w:r w:rsidRPr="00810B38">
        <w:t>Şcoala</w:t>
      </w:r>
      <w:proofErr w:type="spellEnd"/>
      <w:r w:rsidRPr="00810B38">
        <w:t xml:space="preserve"> </w:t>
      </w:r>
      <w:proofErr w:type="spellStart"/>
      <w:r w:rsidRPr="00810B38">
        <w:t>Naţională</w:t>
      </w:r>
      <w:proofErr w:type="spellEnd"/>
      <w:r w:rsidRPr="00810B38">
        <w:t xml:space="preserve"> de Sănătate Publică, Management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Perfecţionare</w:t>
      </w:r>
      <w:proofErr w:type="spellEnd"/>
      <w:r w:rsidRPr="00810B38">
        <w:t xml:space="preserve"> în Domeniul Sanitar </w:t>
      </w:r>
      <w:proofErr w:type="spellStart"/>
      <w:r w:rsidRPr="00810B38">
        <w:t>Bucureşti</w:t>
      </w:r>
      <w:proofErr w:type="spellEnd"/>
      <w:r w:rsidRPr="00810B38">
        <w:t xml:space="preserve">, precum </w:t>
      </w:r>
      <w:proofErr w:type="spellStart"/>
      <w:r w:rsidRPr="00810B38">
        <w:t>şi</w:t>
      </w:r>
      <w:proofErr w:type="spellEnd"/>
      <w:r w:rsidRPr="00810B38">
        <w:t xml:space="preserve"> pentru analiza acestora, începând cu datele aferente cazurilor externate în luna iulie 2011.</w:t>
      </w:r>
    </w:p>
    <w:p w:rsidR="00810B38" w:rsidRPr="00810B38" w:rsidRDefault="00810B38" w:rsidP="00AA1297">
      <w:pPr>
        <w:spacing w:after="0" w:line="240" w:lineRule="auto"/>
        <w:jc w:val="both"/>
      </w:pPr>
      <w:bookmarkStart w:id="5" w:name="do|ar2|al2"/>
      <w:bookmarkEnd w:id="5"/>
      <w:r w:rsidRPr="00810B38">
        <w:rPr>
          <w:b/>
          <w:bCs/>
        </w:rPr>
        <w:t>(2)</w:t>
      </w:r>
      <w:r w:rsidRPr="00810B38">
        <w:t xml:space="preserve">Datele aferente raportării pentru luna iulie 2011 se transmit până pe data de 5 august 2011 </w:t>
      </w:r>
      <w:proofErr w:type="spellStart"/>
      <w:r w:rsidRPr="00810B38">
        <w:t>şi</w:t>
      </w:r>
      <w:proofErr w:type="spellEnd"/>
      <w:r w:rsidRPr="00810B38">
        <w:t xml:space="preserve"> vor fi grupate conform clasificării RO DRG v.1 de către </w:t>
      </w:r>
      <w:proofErr w:type="spellStart"/>
      <w:r w:rsidRPr="00810B38">
        <w:t>Şcoala</w:t>
      </w:r>
      <w:proofErr w:type="spellEnd"/>
      <w:r w:rsidRPr="00810B38">
        <w:t xml:space="preserve"> </w:t>
      </w:r>
      <w:proofErr w:type="spellStart"/>
      <w:r w:rsidRPr="00810B38">
        <w:t>Naţională</w:t>
      </w:r>
      <w:proofErr w:type="spellEnd"/>
      <w:r w:rsidRPr="00810B38">
        <w:t xml:space="preserve"> de Sănătate Publică, Management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Perfecţionare</w:t>
      </w:r>
      <w:proofErr w:type="spellEnd"/>
      <w:r w:rsidRPr="00810B38">
        <w:t xml:space="preserve"> în Domeniul Sanitar </w:t>
      </w:r>
      <w:proofErr w:type="spellStart"/>
      <w:r w:rsidRPr="00810B38">
        <w:t>Bucureşti</w:t>
      </w:r>
      <w:proofErr w:type="spellEnd"/>
      <w:r w:rsidRPr="00810B38">
        <w:t>.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3</w:t>
      </w:r>
    </w:p>
    <w:p w:rsidR="00810B38" w:rsidRPr="00810B38" w:rsidRDefault="00810B38" w:rsidP="00AA1297">
      <w:pPr>
        <w:spacing w:after="0" w:line="240" w:lineRule="auto"/>
        <w:jc w:val="both"/>
      </w:pPr>
      <w:bookmarkStart w:id="6" w:name="do|ar3|pa1"/>
      <w:bookmarkEnd w:id="6"/>
      <w:r w:rsidRPr="00810B38">
        <w:t xml:space="preserve">Actualizările clasificării RO DRG v.1 vor fi </w:t>
      </w:r>
      <w:proofErr w:type="spellStart"/>
      <w:r w:rsidRPr="00810B38">
        <w:t>afişate</w:t>
      </w:r>
      <w:proofErr w:type="spellEnd"/>
      <w:r w:rsidRPr="00810B38">
        <w:t xml:space="preserve"> pe website-</w:t>
      </w:r>
      <w:proofErr w:type="spellStart"/>
      <w:r w:rsidRPr="00810B38">
        <w:t>ul</w:t>
      </w:r>
      <w:proofErr w:type="spellEnd"/>
      <w:r w:rsidRPr="00810B38">
        <w:t xml:space="preserve"> </w:t>
      </w:r>
      <w:proofErr w:type="spellStart"/>
      <w:r w:rsidRPr="00810B38">
        <w:t>Şcolii</w:t>
      </w:r>
      <w:proofErr w:type="spellEnd"/>
      <w:r w:rsidRPr="00810B38">
        <w:t xml:space="preserve"> </w:t>
      </w:r>
      <w:proofErr w:type="spellStart"/>
      <w:r w:rsidRPr="00810B38">
        <w:t>Naţionale</w:t>
      </w:r>
      <w:proofErr w:type="spellEnd"/>
      <w:r w:rsidRPr="00810B38">
        <w:t xml:space="preserve"> de Sănătate Publică, Management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Perfecţionare</w:t>
      </w:r>
      <w:proofErr w:type="spellEnd"/>
      <w:r w:rsidRPr="00810B38">
        <w:t xml:space="preserve"> în Domeniul Sanitar </w:t>
      </w:r>
      <w:proofErr w:type="spellStart"/>
      <w:r w:rsidRPr="00810B38">
        <w:t>Bucureşti</w:t>
      </w:r>
      <w:proofErr w:type="spellEnd"/>
      <w:r w:rsidRPr="00810B38">
        <w:t>.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4</w:t>
      </w:r>
    </w:p>
    <w:p w:rsidR="00810B38" w:rsidRPr="00810B38" w:rsidRDefault="00810B38" w:rsidP="00AA1297">
      <w:pPr>
        <w:spacing w:after="0" w:line="240" w:lineRule="auto"/>
        <w:jc w:val="both"/>
      </w:pPr>
      <w:bookmarkStart w:id="7" w:name="do|ar4|pa1"/>
      <w:bookmarkEnd w:id="7"/>
      <w:proofErr w:type="spellStart"/>
      <w:r w:rsidRPr="00810B38">
        <w:t>Direcţiile</w:t>
      </w:r>
      <w:proofErr w:type="spellEnd"/>
      <w:r w:rsidRPr="00810B38">
        <w:t xml:space="preserve"> implicate din Ministerul </w:t>
      </w:r>
      <w:proofErr w:type="spellStart"/>
      <w:r w:rsidRPr="00810B38">
        <w:t>Sănătăţii</w:t>
      </w:r>
      <w:proofErr w:type="spellEnd"/>
      <w:r w:rsidRPr="00810B38">
        <w:t xml:space="preserve">, </w:t>
      </w:r>
      <w:proofErr w:type="spellStart"/>
      <w:r w:rsidRPr="00810B38">
        <w:t>Şcoala</w:t>
      </w:r>
      <w:proofErr w:type="spellEnd"/>
      <w:r w:rsidRPr="00810B38">
        <w:t xml:space="preserve"> </w:t>
      </w:r>
      <w:proofErr w:type="spellStart"/>
      <w:r w:rsidRPr="00810B38">
        <w:t>Naţională</w:t>
      </w:r>
      <w:proofErr w:type="spellEnd"/>
      <w:r w:rsidRPr="00810B38">
        <w:t xml:space="preserve"> de Sănătate Publică, Management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Perfecţionare</w:t>
      </w:r>
      <w:proofErr w:type="spellEnd"/>
      <w:r w:rsidRPr="00810B38">
        <w:t xml:space="preserve"> în Domeniul Sanitar </w:t>
      </w:r>
      <w:proofErr w:type="spellStart"/>
      <w:r w:rsidRPr="00810B38">
        <w:t>Bucureşti</w:t>
      </w:r>
      <w:proofErr w:type="spellEnd"/>
      <w:r w:rsidRPr="00810B38">
        <w:t xml:space="preserve">, Centrul </w:t>
      </w:r>
      <w:proofErr w:type="spellStart"/>
      <w:r w:rsidRPr="00810B38">
        <w:t>Naţional</w:t>
      </w:r>
      <w:proofErr w:type="spellEnd"/>
      <w:r w:rsidRPr="00810B38">
        <w:t xml:space="preserve"> de Statistică </w:t>
      </w:r>
      <w:proofErr w:type="spellStart"/>
      <w:r w:rsidRPr="00810B38">
        <w:t>şi</w:t>
      </w:r>
      <w:proofErr w:type="spellEnd"/>
      <w:r w:rsidRPr="00810B38">
        <w:t xml:space="preserve"> Informatică în Sănătate Publică din cadrul Institutului </w:t>
      </w:r>
      <w:proofErr w:type="spellStart"/>
      <w:r w:rsidRPr="00810B38">
        <w:t>Naţional</w:t>
      </w:r>
      <w:proofErr w:type="spellEnd"/>
      <w:r w:rsidRPr="00810B38">
        <w:t xml:space="preserve"> de Sănătate Publică, </w:t>
      </w:r>
      <w:proofErr w:type="spellStart"/>
      <w:r w:rsidRPr="00810B38">
        <w:t>direcţiile</w:t>
      </w:r>
      <w:proofErr w:type="spellEnd"/>
      <w:r w:rsidRPr="00810B38">
        <w:t xml:space="preserve"> de sănătate publică </w:t>
      </w:r>
      <w:proofErr w:type="spellStart"/>
      <w:r w:rsidRPr="00810B38">
        <w:t>judeţene</w:t>
      </w:r>
      <w:proofErr w:type="spellEnd"/>
      <w:r w:rsidRPr="00810B38">
        <w:t xml:space="preserve"> </w:t>
      </w:r>
      <w:proofErr w:type="spellStart"/>
      <w:r w:rsidRPr="00810B38">
        <w:t>şi</w:t>
      </w:r>
      <w:proofErr w:type="spellEnd"/>
      <w:r w:rsidRPr="00810B38">
        <w:t xml:space="preserve"> a municipiului </w:t>
      </w:r>
      <w:proofErr w:type="spellStart"/>
      <w:r w:rsidRPr="00810B38">
        <w:t>Bucureşti</w:t>
      </w:r>
      <w:proofErr w:type="spellEnd"/>
      <w:r w:rsidRPr="00810B38">
        <w:t xml:space="preserve"> </w:t>
      </w:r>
      <w:proofErr w:type="spellStart"/>
      <w:r w:rsidRPr="00810B38">
        <w:t>şi</w:t>
      </w:r>
      <w:proofErr w:type="spellEnd"/>
      <w:r w:rsidRPr="00810B38">
        <w:t xml:space="preserve"> </w:t>
      </w:r>
      <w:proofErr w:type="spellStart"/>
      <w:r w:rsidRPr="00810B38">
        <w:t>unităţile</w:t>
      </w:r>
      <w:proofErr w:type="spellEnd"/>
      <w:r w:rsidRPr="00810B38">
        <w:t xml:space="preserve"> sanitare cu paturi vor duce la îndeplinire prevederile prezentului ordin.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5</w:t>
      </w:r>
    </w:p>
    <w:p w:rsidR="00810B38" w:rsidRPr="00810B38" w:rsidRDefault="00810B38" w:rsidP="00AA1297">
      <w:pPr>
        <w:spacing w:after="0" w:line="240" w:lineRule="auto"/>
        <w:jc w:val="both"/>
      </w:pPr>
      <w:bookmarkStart w:id="8" w:name="do|ar5|pa1"/>
      <w:bookmarkEnd w:id="8"/>
      <w:r w:rsidRPr="00810B38">
        <w:t xml:space="preserve">La data intrării în vigoare a prezentului ordin </w:t>
      </w:r>
      <w:proofErr w:type="spellStart"/>
      <w:r w:rsidRPr="00810B38">
        <w:t>îşi</w:t>
      </w:r>
      <w:proofErr w:type="spellEnd"/>
      <w:r w:rsidRPr="00810B38">
        <w:t xml:space="preserve"> încetează aplicabilitatea Ordinul ministrului </w:t>
      </w:r>
      <w:proofErr w:type="spellStart"/>
      <w:r w:rsidRPr="00810B38">
        <w:t>sănătăţii</w:t>
      </w:r>
      <w:proofErr w:type="spellEnd"/>
      <w:r w:rsidRPr="00810B38">
        <w:t xml:space="preserve"> nr. </w:t>
      </w:r>
      <w:hyperlink r:id="rId5" w:history="1">
        <w:r w:rsidRPr="00810B38">
          <w:rPr>
            <w:rStyle w:val="Hyperlink"/>
            <w:b/>
            <w:bCs/>
          </w:rPr>
          <w:t>1.027/2010</w:t>
        </w:r>
      </w:hyperlink>
      <w:r w:rsidRPr="00810B38">
        <w:t xml:space="preserve"> privind introducerea </w:t>
      </w:r>
      <w:proofErr w:type="spellStart"/>
      <w:r w:rsidRPr="00810B38">
        <w:t>şi</w:t>
      </w:r>
      <w:proofErr w:type="spellEnd"/>
      <w:r w:rsidRPr="00810B38">
        <w:t xml:space="preserve"> utilizarea clasificării RO.vi. DRG publicat în Monitorul Oficial al României, Partea I, nr. 505 din 21 iulie 2010, cu modificările ulterioare.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rPr>
          <w:b/>
          <w:bCs/>
        </w:rPr>
        <w:t>Art. 6</w:t>
      </w:r>
    </w:p>
    <w:p w:rsidR="00810B38" w:rsidRPr="00810B38" w:rsidRDefault="00810B38" w:rsidP="00AA1297">
      <w:pPr>
        <w:spacing w:after="0" w:line="240" w:lineRule="auto"/>
        <w:jc w:val="both"/>
      </w:pPr>
      <w:bookmarkStart w:id="9" w:name="do|ar6|pa1"/>
      <w:bookmarkEnd w:id="9"/>
      <w:r w:rsidRPr="00810B38">
        <w:t>Prezentul ordin se publică în Monitorul Oficial al României, Partea I.</w:t>
      </w:r>
    </w:p>
    <w:p w:rsidR="00810B38" w:rsidRDefault="00810B38" w:rsidP="00AA1297">
      <w:pPr>
        <w:spacing w:after="0" w:line="240" w:lineRule="auto"/>
        <w:jc w:val="both"/>
      </w:pPr>
      <w:bookmarkStart w:id="10" w:name="do|pa4"/>
      <w:bookmarkEnd w:id="10"/>
      <w:r w:rsidRPr="00810B38">
        <w:t>-****-</w:t>
      </w:r>
    </w:p>
    <w:p w:rsidR="00AA1297" w:rsidRDefault="00AA1297" w:rsidP="00AA1297">
      <w:pPr>
        <w:spacing w:after="0" w:line="240" w:lineRule="auto"/>
        <w:jc w:val="both"/>
      </w:pPr>
    </w:p>
    <w:p w:rsidR="00AA1297" w:rsidRPr="00810B38" w:rsidRDefault="00AA1297" w:rsidP="00AA1297">
      <w:pPr>
        <w:spacing w:after="0" w:line="240" w:lineRule="auto"/>
        <w:jc w:val="both"/>
      </w:pPr>
      <w:bookmarkStart w:id="11" w:name="_GoBack"/>
      <w:bookmarkEnd w:id="11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810B38" w:rsidRPr="00810B38" w:rsidTr="00810B3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810B38" w:rsidRPr="00810B38" w:rsidRDefault="00810B38" w:rsidP="00AA1297">
            <w:pPr>
              <w:spacing w:after="0" w:line="240" w:lineRule="auto"/>
              <w:jc w:val="both"/>
            </w:pPr>
            <w:bookmarkStart w:id="12" w:name="do|pa5"/>
            <w:bookmarkEnd w:id="12"/>
            <w:r w:rsidRPr="00810B38">
              <w:t xml:space="preserve">Ministrul </w:t>
            </w:r>
            <w:proofErr w:type="spellStart"/>
            <w:r w:rsidRPr="00810B38">
              <w:t>sănătăţii</w:t>
            </w:r>
            <w:proofErr w:type="spellEnd"/>
            <w:r w:rsidRPr="00810B38">
              <w:t>,</w:t>
            </w:r>
          </w:p>
          <w:p w:rsidR="00810B38" w:rsidRPr="00810B38" w:rsidRDefault="00810B38" w:rsidP="00AA1297">
            <w:pPr>
              <w:spacing w:after="0" w:line="240" w:lineRule="auto"/>
              <w:jc w:val="both"/>
            </w:pPr>
            <w:proofErr w:type="spellStart"/>
            <w:r w:rsidRPr="00810B38">
              <w:rPr>
                <w:b/>
                <w:bCs/>
              </w:rPr>
              <w:t>Cseke</w:t>
            </w:r>
            <w:proofErr w:type="spellEnd"/>
            <w:r w:rsidRPr="00810B38">
              <w:rPr>
                <w:b/>
                <w:bCs/>
              </w:rPr>
              <w:t xml:space="preserve"> Attila</w:t>
            </w:r>
          </w:p>
        </w:tc>
      </w:tr>
    </w:tbl>
    <w:p w:rsidR="00AA1297" w:rsidRDefault="00AA1297" w:rsidP="00AA1297">
      <w:pPr>
        <w:spacing w:after="0" w:line="240" w:lineRule="auto"/>
        <w:jc w:val="both"/>
      </w:pPr>
      <w:bookmarkStart w:id="13" w:name="do|pa6"/>
      <w:bookmarkEnd w:id="13"/>
    </w:p>
    <w:p w:rsidR="00AA1297" w:rsidRDefault="00AA1297" w:rsidP="00AA1297">
      <w:pPr>
        <w:spacing w:after="0" w:line="240" w:lineRule="auto"/>
        <w:jc w:val="both"/>
      </w:pPr>
    </w:p>
    <w:p w:rsidR="00810B38" w:rsidRPr="00810B38" w:rsidRDefault="00810B38" w:rsidP="00AA1297">
      <w:pPr>
        <w:spacing w:after="0" w:line="240" w:lineRule="auto"/>
        <w:jc w:val="both"/>
      </w:pPr>
      <w:r w:rsidRPr="00810B38">
        <w:t>Publicat în Monitorul Oficial cu numărul 543 din data de 1 august 2011</w:t>
      </w:r>
    </w:p>
    <w:p w:rsidR="00810B38" w:rsidRPr="00810B38" w:rsidRDefault="00810B38" w:rsidP="00AA1297">
      <w:pPr>
        <w:spacing w:after="0" w:line="240" w:lineRule="auto"/>
        <w:jc w:val="both"/>
      </w:pPr>
      <w:r w:rsidRPr="00810B38">
        <w:br/>
        <w:t xml:space="preserve">Forma sintetică la data 09-ian-2024. Acest act a fost creat </w:t>
      </w:r>
      <w:proofErr w:type="spellStart"/>
      <w:r w:rsidRPr="00810B38">
        <w:t>utilizand</w:t>
      </w:r>
      <w:proofErr w:type="spellEnd"/>
      <w:r w:rsidRPr="00810B38">
        <w:t xml:space="preserve"> tehnologia </w:t>
      </w:r>
      <w:proofErr w:type="spellStart"/>
      <w:r w:rsidRPr="00810B38">
        <w:t>SintAct</w:t>
      </w:r>
      <w:proofErr w:type="spellEnd"/>
      <w:r w:rsidRPr="00810B38">
        <w:t xml:space="preserve">®-Acte Sintetice. </w:t>
      </w:r>
      <w:proofErr w:type="spellStart"/>
      <w:r w:rsidRPr="00810B38">
        <w:t>SintAct</w:t>
      </w:r>
      <w:proofErr w:type="spellEnd"/>
      <w:r w:rsidRPr="00810B38">
        <w:t xml:space="preserve">® </w:t>
      </w:r>
      <w:proofErr w:type="spellStart"/>
      <w:r w:rsidRPr="00810B38">
        <w:t>şi</w:t>
      </w:r>
      <w:proofErr w:type="spellEnd"/>
      <w:r w:rsidRPr="00810B38">
        <w:t xml:space="preserve"> tehnologia Acte Sintetice sunt mărci </w:t>
      </w:r>
      <w:proofErr w:type="spellStart"/>
      <w:r w:rsidRPr="00810B38">
        <w:t>inregistrate</w:t>
      </w:r>
      <w:proofErr w:type="spellEnd"/>
      <w:r w:rsidRPr="00810B38">
        <w:t xml:space="preserve"> ale </w:t>
      </w:r>
      <w:proofErr w:type="spellStart"/>
      <w:r w:rsidRPr="00810B38">
        <w:t>Wolters</w:t>
      </w:r>
      <w:proofErr w:type="spellEnd"/>
      <w:r w:rsidRPr="00810B38">
        <w:t xml:space="preserve"> </w:t>
      </w:r>
      <w:proofErr w:type="spellStart"/>
      <w:r w:rsidRPr="00810B38">
        <w:t>Kluwer</w:t>
      </w:r>
      <w:proofErr w:type="spellEnd"/>
      <w:r w:rsidRPr="00810B38">
        <w:t>.</w:t>
      </w:r>
    </w:p>
    <w:p w:rsidR="00C019F6" w:rsidRDefault="00C019F6" w:rsidP="00AA1297">
      <w:pPr>
        <w:spacing w:after="0" w:line="240" w:lineRule="auto"/>
        <w:jc w:val="both"/>
      </w:pPr>
    </w:p>
    <w:sectPr w:rsidR="00C01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38"/>
    <w:rsid w:val="000A7ACE"/>
    <w:rsid w:val="00695C45"/>
    <w:rsid w:val="00810B38"/>
    <w:rsid w:val="00AA1297"/>
    <w:rsid w:val="00C019F6"/>
    <w:rsid w:val="00C92590"/>
    <w:rsid w:val="00DF6123"/>
    <w:rsid w:val="00EA48B5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2122"/>
  <w15:chartTrackingRefBased/>
  <w15:docId w15:val="{BA3B31B2-2A1C-441E-989D-EA61F29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9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04069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061006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85502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27447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3783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34663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2846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44113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4396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45735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7061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452278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23747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9500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54231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96435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92399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562514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0413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55354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320050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8631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24557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802230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9084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23537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berinde\sintact%204.0\cache\Legislatie\temp2563998\00133455.htm" TargetMode="External"/><Relationship Id="rId4" Type="http://schemas.openxmlformats.org/officeDocument/2006/relationships/hyperlink" Target="file:///C:\Users\cberinde\sintact%204.0\cache\Legislatie\temp2563998\0012979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Sorana Lixandru</cp:lastModifiedBy>
  <cp:revision>2</cp:revision>
  <dcterms:created xsi:type="dcterms:W3CDTF">2024-01-09T10:30:00Z</dcterms:created>
  <dcterms:modified xsi:type="dcterms:W3CDTF">2024-01-09T15:01:00Z</dcterms:modified>
</cp:coreProperties>
</file>